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pBdr/>
        <w:spacing/>
        <w: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6"/>
        <w:pBdr/>
        <w:spacing/>
        <w:ind/>
        <w:rPr/>
      </w:pPr>
      <w:r/>
      <w:r>
        <w:rPr>
          <w:lang w:eastAsia="cs-CZ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89725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4409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760719" cy="89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70.65pt;mso-wrap-distance-left:0.00pt;mso-wrap-distance-top:0.00pt;mso-wrap-distance-right:0.00pt;mso-wrap-distance-bottom:0.00pt;rotation:0;z-index:1;" stroked="false">
                <v:imagedata r:id="rId10" o:title=""/>
                <o:lock v:ext="edit" rotation="t"/>
              </v:shape>
            </w:pict>
          </mc:Fallback>
        </mc:AlternateContent>
      </w:r>
      <w:r/>
      <w:r/>
      <w:r/>
    </w:p>
    <w:p>
      <w:pPr>
        <w:pStyle w:val="846"/>
        <w:pBdr/>
        <w:spacing/>
        <w:ind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6"/>
        <w:pBdr/>
        <w:spacing/>
        <w:ind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Posudek o zdravotní způsobilosti dítěte k účasti na zotavovacích akcích, lyžařském, plaveckém výcviku</w:t>
      </w:r>
      <w:r>
        <w:rPr>
          <w:rFonts w:ascii="Calibri" w:hAnsi="Calibri" w:cs="Calibri"/>
          <w:sz w:val="32"/>
          <w:szCs w:val="32"/>
        </w:rPr>
      </w:r>
      <w:r>
        <w:rPr>
          <w:rFonts w:ascii="Calibri" w:hAnsi="Calibri" w:cs="Calibri"/>
          <w:b/>
          <w:bCs/>
          <w:sz w:val="32"/>
          <w:szCs w:val="32"/>
        </w:rPr>
      </w:r>
    </w:p>
    <w:p>
      <w:pPr>
        <w:pStyle w:val="846"/>
        <w:pBdr/>
        <w:spacing/>
        <w:ind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b/>
          <w:sz w:val="24"/>
          <w:szCs w:val="24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Jméno, popřípadě jména a příjmení posuzovaného dítěte............................................................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 narození 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adresa místa trvalého pobytu nebo jiného pobytu ......................................................................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Část A)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Posuzované dítě k účasti na zotavovací akci: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je zdravotně způsobilé*)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není zdravotně způsobilé*)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je zdravotně způsobilé za podmínky (s omezením)*) ..............................................................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Posudek je platný 24 měsíců od data jeho vydání, pokud v souvislosti s nemocí v průběhu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této doby nedošlo ke změně zdravotní způsobilosti.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Část B)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Potvrzení o tom, že dítě: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a) se podrobilo stanoveným pravidelným očkováním ANO ‐ NE*)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je proti nákaze imunní (typ/druh) 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má trvalou kontraindikaci proti očkování (typ/druh) ...............................................................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d) je alergické na 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e) dlouhodobě užívá léky (typ/druh, dávka) 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 vydání posudku</w:t>
      </w:r>
      <w:r>
        <w:rPr>
          <w:rFonts w:ascii="Calibri" w:hAnsi="Calibri" w:cs="Calibri"/>
          <w:sz w:val="22"/>
          <w:szCs w:val="22"/>
        </w:rPr>
        <w:t xml:space="preserve">:</w:t>
      </w:r>
      <w:r>
        <w:rPr>
          <w:rFonts w:ascii="Calibri" w:hAnsi="Calibri" w:cs="Calibri"/>
          <w:sz w:val="22"/>
          <w:szCs w:val="22"/>
        </w:rPr>
        <w:t xml:space="preserve"> ………………………………..</w:t>
      </w:r>
      <w:r>
        <w:rPr>
          <w:rFonts w:ascii="Calibri" w:hAnsi="Calibri" w:cs="Calibri"/>
          <w:sz w:val="22"/>
          <w:szCs w:val="22"/>
        </w:rPr>
        <w:t xml:space="preserve">..........................................</w:t>
      </w:r>
      <w:r>
        <w:rPr>
          <w:rFonts w:ascii="Calibri" w:hAnsi="Calibri" w:cs="Calibri"/>
          <w:sz w:val="22"/>
          <w:szCs w:val="22"/>
        </w:rPr>
        <w:t xml:space="preserve">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/>
          <w:sz w:val="22"/>
          <w:szCs w:val="22"/>
        </w:rPr>
        <w:t xml:space="preserve">podpis, jmenovka lékaře</w:t>
      </w:r>
      <w:r>
        <w:rPr>
          <w:rFonts w:ascii="Calibri" w:hAnsi="Calibri" w:cs="Calibri"/>
          <w:sz w:val="22"/>
          <w:szCs w:val="22"/>
        </w:rPr>
        <w:t xml:space="preserve">,</w:t>
      </w:r>
      <w:r>
        <w:rPr>
          <w:rFonts w:ascii="Calibri" w:hAnsi="Calibri" w:cs="Calibri"/>
          <w:sz w:val="22"/>
          <w:szCs w:val="22"/>
        </w:rPr>
        <w:t xml:space="preserve"> razítko zdrav. zařízení</w:t>
      </w:r>
      <w:r>
        <w:rPr>
          <w:rFonts w:ascii="Calibri" w:hAnsi="Calibri" w:cs="Calibri"/>
          <w:sz w:val="22"/>
          <w:szCs w:val="22"/>
        </w:rPr>
        <w:t xml:space="preserve">:........................................................................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Poučení: </w:t>
      </w:r>
      <w:r>
        <w:rPr>
          <w:rFonts w:ascii="Calibri" w:hAnsi="Calibri" w:cs="Calibri"/>
          <w:sz w:val="22"/>
          <w:szCs w:val="22"/>
        </w:rPr>
        <w:t xml:space="preserve">Proti bodu 3. části A) tohoto posudku lze podle § 46 odst. 1 zákona č. 373/2011 Sb., o specifických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zdravotních službách, v platném znění, podat návrh na jeho přezkoumání do 10 pracovních dnů ode dne je</w:t>
      </w:r>
      <w:r>
        <w:rPr>
          <w:rFonts w:ascii="Calibri" w:hAnsi="Calibri" w:cs="Calibri"/>
          <w:sz w:val="22"/>
          <w:szCs w:val="22"/>
        </w:rPr>
        <w:t xml:space="preserve">ho </w:t>
      </w:r>
      <w:r>
        <w:rPr>
          <w:rFonts w:ascii="Calibri" w:hAnsi="Calibri" w:cs="Calibri"/>
          <w:sz w:val="22"/>
          <w:szCs w:val="22"/>
        </w:rPr>
        <w:t xml:space="preserve">prokazatelného předání poskytovatelem zdravotnických služeb, který posudek vydal. Návrh na př</w:t>
      </w:r>
      <w:r>
        <w:rPr>
          <w:rFonts w:ascii="Calibri" w:hAnsi="Calibri" w:cs="Calibri"/>
          <w:sz w:val="22"/>
          <w:szCs w:val="22"/>
        </w:rPr>
        <w:t xml:space="preserve">ezkoumání l</w:t>
      </w:r>
      <w:r>
        <w:rPr>
          <w:rFonts w:ascii="Calibri" w:hAnsi="Calibri" w:cs="Calibri"/>
          <w:sz w:val="22"/>
          <w:szCs w:val="22"/>
        </w:rPr>
        <w:t xml:space="preserve">ékařského posudku nemá odkladný účinek, jestliže z jeho závěru vyplývá, že posuzovaná osoba je pro účel, pro který byla posuzována, zdravotně nezpůsobilá nebo zdravotně způsobilá s podmínkou.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Jméno, popřípadě jména a příjmení oprávněné osoby .................................................................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Vztah k dítěti 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Oprávněná osoba převzala posudek do vlastních rukou 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  <w:highlight w:val="none"/>
        </w:rPr>
      </w:pPr>
      <w:r>
        <w:rPr>
          <w:rFonts w:ascii="Calibri" w:hAnsi="Calibri" w:cs="Calibri"/>
          <w:sz w:val="22"/>
          <w:szCs w:val="22"/>
        </w:rPr>
        <w:t xml:space="preserve">dne ....................................................... podpis oprávněné osoby</w:t>
      </w:r>
      <w:r>
        <w:rPr>
          <w:rFonts w:ascii="Calibri" w:hAnsi="Calibri" w:cs="Calibri"/>
          <w:sz w:val="22"/>
          <w:szCs w:val="22"/>
        </w:rPr>
        <w:t xml:space="preserve">................................................</w:t>
      </w:r>
      <w:r>
        <w:rPr>
          <w:rFonts w:ascii="Calibri" w:hAnsi="Calibri" w:cs="Calibri"/>
          <w:sz w:val="22"/>
          <w:szCs w:val="22"/>
          <w:highlight w:val="none"/>
        </w:rPr>
      </w:r>
      <w:r>
        <w:rPr>
          <w:rFonts w:ascii="Calibri" w:hAnsi="Calibri" w:cs="Calibri"/>
          <w:sz w:val="22"/>
          <w:szCs w:val="22"/>
          <w:highlight w:val="none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Posudek byl oprávněné osobě do vlastních rukou doručen dne ...................................................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(stvrzuje se přiloženou "doručenkou")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*) Nehodící se škrtněte.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846"/>
        <w:pBdr/>
        <w:spacing/>
        <w:ind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Posudek dle Vyhlášky Ministerstva zdravotnictví č</w:t>
      </w:r>
      <w:r>
        <w:rPr>
          <w:rFonts w:ascii="Calibri" w:hAnsi="Calibri" w:cs="Calibri"/>
          <w:i/>
          <w:iCs/>
          <w:sz w:val="22"/>
          <w:szCs w:val="22"/>
        </w:rPr>
        <w:t xml:space="preserve">.</w:t>
      </w:r>
      <w:r>
        <w:rPr>
          <w:rFonts w:ascii="Calibri" w:hAnsi="Calibri" w:cs="Calibri"/>
          <w:i/>
          <w:iCs/>
          <w:sz w:val="22"/>
          <w:szCs w:val="22"/>
        </w:rPr>
        <w:t xml:space="preserve">106/2001 Sb. ve znění pozdějš</w:t>
      </w:r>
      <w:r>
        <w:rPr>
          <w:rFonts w:ascii="Calibri" w:hAnsi="Calibri" w:cs="Calibri"/>
          <w:i/>
          <w:iCs/>
          <w:sz w:val="22"/>
          <w:szCs w:val="22"/>
        </w:rPr>
        <w:t xml:space="preserve">ích </w:t>
      </w:r>
      <w:r>
        <w:rPr>
          <w:rFonts w:ascii="Calibri" w:hAnsi="Calibri" w:cs="Calibri"/>
          <w:i/>
          <w:iCs/>
          <w:sz w:val="22"/>
          <w:szCs w:val="22"/>
        </w:rPr>
        <w:t xml:space="preserve">předpisů</w:t>
      </w:r>
      <w:r>
        <w:rPr>
          <w:rFonts w:ascii="Calibri" w:hAnsi="Calibri" w:cs="Calibri"/>
          <w:i/>
          <w:iCs/>
          <w:sz w:val="22"/>
          <w:szCs w:val="22"/>
        </w:rPr>
        <w:t xml:space="preserve">.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i/>
          <w:iCs/>
          <w:sz w:val="22"/>
          <w:szCs w:val="22"/>
        </w:rPr>
      </w:r>
    </w:p>
    <w:sectPr>
      <w:headerReference w:type="default" r:id="rId9"/>
      <w:footnotePr/>
      <w:endnotePr/>
      <w:type w:val="nextPage"/>
      <w:pgSz w:h="16838" w:orient="landscape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pBdr/>
      <w:spacing/>
      <w:ind/>
      <w:jc w:val="center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cs-CZ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pBdr/>
      <w:spacing/>
      <w:ind w:left="720"/>
      <w:contextualSpacing w:val="true"/>
    </w:pPr>
  </w:style>
  <w:style w:type="paragraph" w:styleId="687">
    <w:name w:val="No Spacing"/>
    <w:uiPriority w:val="1"/>
    <w:qFormat/>
    <w:pPr>
      <w:pBdr/>
      <w:spacing w:after="0" w:before="0" w:line="240" w:lineRule="auto"/>
      <w:ind/>
    </w:pPr>
  </w:style>
  <w:style w:type="paragraph" w:styleId="688">
    <w:name w:val="Title"/>
    <w:basedOn w:val="846"/>
    <w:next w:val="846"/>
    <w:link w:val="68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9">
    <w:name w:val="Title Char"/>
    <w:link w:val="688"/>
    <w:uiPriority w:val="10"/>
    <w:pPr>
      <w:pBdr/>
      <w:spacing/>
      <w:ind/>
    </w:pPr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1">
    <w:name w:val="Subtitle Char"/>
    <w:link w:val="690"/>
    <w:uiPriority w:val="11"/>
    <w:pPr>
      <w:pBdr/>
      <w:spacing/>
      <w:ind/>
    </w:pPr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pBdr/>
      <w:spacing/>
      <w:ind w:right="720" w:left="720"/>
    </w:pPr>
    <w:rPr>
      <w:i/>
    </w:rPr>
  </w:style>
  <w:style w:type="character" w:styleId="693">
    <w:name w:val="Quote Char"/>
    <w:link w:val="692"/>
    <w:uiPriority w:val="29"/>
    <w:pPr>
      <w:pBdr/>
      <w:spacing/>
      <w:ind/>
    </w:pPr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5">
    <w:name w:val="Intense Quote Char"/>
    <w:link w:val="694"/>
    <w:uiPriority w:val="30"/>
    <w:pPr>
      <w:pBdr/>
      <w:spacing/>
      <w:ind/>
    </w:pPr>
    <w:rPr>
      <w:i/>
    </w:rPr>
  </w:style>
  <w:style w:type="paragraph" w:styleId="696">
    <w:name w:val="Header"/>
    <w:basedOn w:val="846"/>
    <w:link w:val="69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7">
    <w:name w:val="Header Char"/>
    <w:link w:val="696"/>
    <w:uiPriority w:val="99"/>
    <w:pPr>
      <w:pBdr/>
      <w:spacing/>
      <w:ind/>
    </w:pPr>
  </w:style>
  <w:style w:type="paragraph" w:styleId="698">
    <w:name w:val="Footer"/>
    <w:basedOn w:val="846"/>
    <w:link w:val="70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9">
    <w:name w:val="Footer Char"/>
    <w:link w:val="698"/>
    <w:uiPriority w:val="99"/>
    <w:pPr>
      <w:pBdr/>
      <w:spacing/>
      <w:ind/>
    </w:pPr>
  </w:style>
  <w:style w:type="paragraph" w:styleId="700">
    <w:name w:val="Caption"/>
    <w:basedOn w:val="846"/>
    <w:next w:val="84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  <w:pPr>
      <w:pBdr/>
      <w:spacing/>
      <w:ind/>
    </w:pPr>
  </w:style>
  <w:style w:type="table" w:styleId="70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0">
    <w:name w:val="Footnote Text Char"/>
    <w:link w:val="829"/>
    <w:uiPriority w:val="99"/>
    <w:pPr>
      <w:pBdr/>
      <w:spacing/>
      <w:ind/>
    </w:pPr>
    <w:rPr>
      <w:sz w:val="18"/>
    </w:rPr>
  </w:style>
  <w:style w:type="character" w:styleId="83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3">
    <w:name w:val="Endnote Text Char"/>
    <w:link w:val="832"/>
    <w:uiPriority w:val="99"/>
    <w:pPr>
      <w:pBdr/>
      <w:spacing/>
      <w:ind/>
    </w:pPr>
    <w:rPr>
      <w:sz w:val="20"/>
    </w:rPr>
  </w:style>
  <w:style w:type="character" w:styleId="83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pBdr/>
      <w:spacing w:after="57"/>
      <w:ind w:right="0" w:firstLine="0" w:left="0"/>
    </w:pPr>
  </w:style>
  <w:style w:type="paragraph" w:styleId="836">
    <w:name w:val="toc 2"/>
    <w:basedOn w:val="846"/>
    <w:next w:val="846"/>
    <w:uiPriority w:val="39"/>
    <w:unhideWhenUsed/>
    <w:pPr>
      <w:pBdr/>
      <w:spacing w:after="57"/>
      <w:ind w:right="0" w:firstLine="0" w:left="283"/>
    </w:pPr>
  </w:style>
  <w:style w:type="paragraph" w:styleId="837">
    <w:name w:val="toc 3"/>
    <w:basedOn w:val="846"/>
    <w:next w:val="846"/>
    <w:uiPriority w:val="39"/>
    <w:unhideWhenUsed/>
    <w:pPr>
      <w:pBdr/>
      <w:spacing w:after="57"/>
      <w:ind w:right="0" w:firstLine="0" w:left="567"/>
    </w:pPr>
  </w:style>
  <w:style w:type="paragraph" w:styleId="838">
    <w:name w:val="toc 4"/>
    <w:basedOn w:val="846"/>
    <w:next w:val="846"/>
    <w:uiPriority w:val="39"/>
    <w:unhideWhenUsed/>
    <w:pPr>
      <w:pBdr/>
      <w:spacing w:after="57"/>
      <w:ind w:right="0" w:firstLine="0" w:left="850"/>
    </w:pPr>
  </w:style>
  <w:style w:type="paragraph" w:styleId="839">
    <w:name w:val="toc 5"/>
    <w:basedOn w:val="846"/>
    <w:next w:val="846"/>
    <w:uiPriority w:val="39"/>
    <w:unhideWhenUsed/>
    <w:pPr>
      <w:pBdr/>
      <w:spacing w:after="57"/>
      <w:ind w:right="0" w:firstLine="0" w:left="1134"/>
    </w:pPr>
  </w:style>
  <w:style w:type="paragraph" w:styleId="840">
    <w:name w:val="toc 6"/>
    <w:basedOn w:val="846"/>
    <w:next w:val="846"/>
    <w:uiPriority w:val="39"/>
    <w:unhideWhenUsed/>
    <w:pPr>
      <w:pBdr/>
      <w:spacing w:after="57"/>
      <w:ind w:right="0" w:firstLine="0" w:left="1417"/>
    </w:pPr>
  </w:style>
  <w:style w:type="paragraph" w:styleId="841">
    <w:name w:val="toc 7"/>
    <w:basedOn w:val="846"/>
    <w:next w:val="846"/>
    <w:uiPriority w:val="39"/>
    <w:unhideWhenUsed/>
    <w:pPr>
      <w:pBdr/>
      <w:spacing w:after="57"/>
      <w:ind w:right="0" w:firstLine="0" w:left="1701"/>
    </w:pPr>
  </w:style>
  <w:style w:type="paragraph" w:styleId="842">
    <w:name w:val="toc 8"/>
    <w:basedOn w:val="846"/>
    <w:next w:val="846"/>
    <w:uiPriority w:val="39"/>
    <w:unhideWhenUsed/>
    <w:pPr>
      <w:pBdr/>
      <w:spacing w:after="57"/>
      <w:ind w:right="0" w:firstLine="0" w:left="1984"/>
    </w:pPr>
  </w:style>
  <w:style w:type="paragraph" w:styleId="843">
    <w:name w:val="toc 9"/>
    <w:basedOn w:val="846"/>
    <w:next w:val="846"/>
    <w:uiPriority w:val="39"/>
    <w:unhideWhenUsed/>
    <w:pPr>
      <w:pBdr/>
      <w:spacing w:after="57"/>
      <w:ind w:right="0" w:firstLine="0" w:left="2268"/>
    </w:pPr>
  </w:style>
  <w:style w:type="paragraph" w:styleId="844">
    <w:name w:val="TOC Heading"/>
    <w:uiPriority w:val="39"/>
    <w:unhideWhenUsed/>
    <w:pPr>
      <w:pBdr/>
      <w:spacing/>
      <w:ind/>
    </w:pPr>
  </w:style>
  <w:style w:type="paragraph" w:styleId="845">
    <w:name w:val="table of figures"/>
    <w:basedOn w:val="846"/>
    <w:next w:val="846"/>
    <w:uiPriority w:val="99"/>
    <w:unhideWhenUsed/>
    <w:pPr>
      <w:pBdr/>
      <w:spacing w:after="0" w:afterAutospacing="0"/>
      <w:ind/>
    </w:pPr>
  </w:style>
  <w:style w:type="paragraph" w:styleId="846" w:default="1">
    <w:name w:val="Normal"/>
    <w:next w:val="846"/>
    <w:link w:val="846"/>
    <w:qFormat/>
    <w:pPr>
      <w:pBdr/>
      <w:spacing/>
      <w:ind/>
    </w:pPr>
    <w:rPr>
      <w:sz w:val="24"/>
      <w:szCs w:val="24"/>
      <w:lang w:val="cs-CZ" w:eastAsia="cs-CZ" w:bidi="ar-SA"/>
    </w:rPr>
  </w:style>
  <w:style w:type="character" w:styleId="847">
    <w:name w:val="Standardní písmo odstavce"/>
    <w:next w:val="847"/>
    <w:link w:val="846"/>
    <w:semiHidden/>
    <w:pPr>
      <w:pBdr/>
      <w:spacing/>
      <w:ind/>
    </w:pPr>
  </w:style>
  <w:style w:type="table" w:styleId="848">
    <w:name w:val="Normální tabulka"/>
    <w:next w:val="848"/>
    <w:link w:val="84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9">
    <w:name w:val="Bez seznamu"/>
    <w:next w:val="849"/>
    <w:link w:val="846"/>
    <w:semiHidden/>
    <w:pPr>
      <w:pBdr/>
      <w:spacing/>
      <w:ind/>
    </w:pPr>
  </w:style>
  <w:style w:type="paragraph" w:styleId="850">
    <w:name w:val="Záhlaví"/>
    <w:basedOn w:val="846"/>
    <w:next w:val="850"/>
    <w:link w:val="846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851">
    <w:name w:val="Zápatí"/>
    <w:basedOn w:val="846"/>
    <w:next w:val="851"/>
    <w:link w:val="846"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52">
    <w:name w:val="Hypertextový odkaz"/>
    <w:next w:val="852"/>
    <w:link w:val="846"/>
    <w:pPr>
      <w:pBdr/>
      <w:spacing/>
      <w:ind/>
    </w:pPr>
    <w:rPr>
      <w:color w:val="0000ff"/>
      <w:u w:val="single"/>
    </w:rPr>
  </w:style>
  <w:style w:type="character" w:styleId="853" w:default="1">
    <w:name w:val="Default Paragraph Font"/>
    <w:uiPriority w:val="1"/>
    <w:semiHidden/>
    <w:unhideWhenUsed/>
    <w:pPr>
      <w:pBdr/>
      <w:spacing/>
      <w:ind/>
    </w:pPr>
  </w:style>
  <w:style w:type="numbering" w:styleId="854" w:default="1">
    <w:name w:val="No List"/>
    <w:uiPriority w:val="99"/>
    <w:semiHidden/>
    <w:unhideWhenUsed/>
    <w:pPr>
      <w:pBdr/>
      <w:spacing/>
      <w:ind/>
    </w:pPr>
  </w:style>
  <w:style w:type="table" w:styleId="85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Doležalová</dc:creator>
  <cp:revision>6</cp:revision>
  <dcterms:created xsi:type="dcterms:W3CDTF">2021-08-30T06:13:00Z</dcterms:created>
  <dcterms:modified xsi:type="dcterms:W3CDTF">2024-01-07T10:22:10Z</dcterms:modified>
  <cp:version>917504</cp:version>
</cp:coreProperties>
</file>